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6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кроя и пошива сарафана в народных традициях Вологодской области</w:t>
      </w:r>
      <w:r w:rsidRPr="0000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E2F" w:rsidRPr="00D60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цикла «Традиционные виды рукоделия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Вологда, 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проспект, 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6 Б</w:t>
      </w:r>
      <w:r w:rsidR="005B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26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ВО «Центр народной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январ</w:t>
      </w:r>
      <w:r w:rsidR="00F9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F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92C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E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3A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FE028C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07FC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E07FC0">
        <w:rPr>
          <w:rFonts w:ascii="Times New Roman" w:hAnsi="Times New Roman" w:cs="Times New Roman"/>
          <w:sz w:val="24"/>
          <w:szCs w:val="24"/>
        </w:rPr>
        <w:t>янва</w:t>
      </w:r>
      <w:r w:rsidR="002B6F69">
        <w:rPr>
          <w:rFonts w:ascii="Times New Roman" w:hAnsi="Times New Roman" w:cs="Times New Roman"/>
          <w:sz w:val="24"/>
          <w:szCs w:val="24"/>
        </w:rPr>
        <w:t>ря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E07FC0">
        <w:rPr>
          <w:rFonts w:ascii="Times New Roman" w:hAnsi="Times New Roman" w:cs="Times New Roman"/>
          <w:sz w:val="24"/>
          <w:szCs w:val="24"/>
        </w:rPr>
        <w:t>24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01F2"/>
    <w:rsid w:val="0000628C"/>
    <w:rsid w:val="00007B1C"/>
    <w:rsid w:val="000414F6"/>
    <w:rsid w:val="00041B7A"/>
    <w:rsid w:val="000569A8"/>
    <w:rsid w:val="00091700"/>
    <w:rsid w:val="000A3CC8"/>
    <w:rsid w:val="000C5B8F"/>
    <w:rsid w:val="00112733"/>
    <w:rsid w:val="00121EA3"/>
    <w:rsid w:val="001B772E"/>
    <w:rsid w:val="001E1773"/>
    <w:rsid w:val="001F5FE5"/>
    <w:rsid w:val="002B5E62"/>
    <w:rsid w:val="002B6F69"/>
    <w:rsid w:val="002C7B01"/>
    <w:rsid w:val="00313C67"/>
    <w:rsid w:val="003152FD"/>
    <w:rsid w:val="00331B85"/>
    <w:rsid w:val="003641EC"/>
    <w:rsid w:val="003A53D5"/>
    <w:rsid w:val="003A7677"/>
    <w:rsid w:val="0043360A"/>
    <w:rsid w:val="00482977"/>
    <w:rsid w:val="00491823"/>
    <w:rsid w:val="00492BB6"/>
    <w:rsid w:val="004B0706"/>
    <w:rsid w:val="00507706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14C5F"/>
    <w:rsid w:val="006609E0"/>
    <w:rsid w:val="006732B5"/>
    <w:rsid w:val="006765FA"/>
    <w:rsid w:val="006C736A"/>
    <w:rsid w:val="007373DF"/>
    <w:rsid w:val="007905EB"/>
    <w:rsid w:val="007A186E"/>
    <w:rsid w:val="007B662A"/>
    <w:rsid w:val="007D262D"/>
    <w:rsid w:val="007F0306"/>
    <w:rsid w:val="00803015"/>
    <w:rsid w:val="0080595D"/>
    <w:rsid w:val="008F2046"/>
    <w:rsid w:val="0095060E"/>
    <w:rsid w:val="0095794E"/>
    <w:rsid w:val="00986024"/>
    <w:rsid w:val="00A01F11"/>
    <w:rsid w:val="00A731FA"/>
    <w:rsid w:val="00A82769"/>
    <w:rsid w:val="00AA6282"/>
    <w:rsid w:val="00B10052"/>
    <w:rsid w:val="00B943AD"/>
    <w:rsid w:val="00BD74B9"/>
    <w:rsid w:val="00C33E4E"/>
    <w:rsid w:val="00C932E2"/>
    <w:rsid w:val="00C93A49"/>
    <w:rsid w:val="00CB3B6B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E07FC0"/>
    <w:rsid w:val="00E236A2"/>
    <w:rsid w:val="00E426F0"/>
    <w:rsid w:val="00E62C6E"/>
    <w:rsid w:val="00E87FC3"/>
    <w:rsid w:val="00F14623"/>
    <w:rsid w:val="00F24607"/>
    <w:rsid w:val="00F451DD"/>
    <w:rsid w:val="00F705B9"/>
    <w:rsid w:val="00F92CFD"/>
    <w:rsid w:val="00F96826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7404-3822-4ED5-8C63-C0C23D1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62</cp:revision>
  <cp:lastPrinted>2023-02-01T12:59:00Z</cp:lastPrinted>
  <dcterms:created xsi:type="dcterms:W3CDTF">2021-02-12T09:34:00Z</dcterms:created>
  <dcterms:modified xsi:type="dcterms:W3CDTF">2023-12-26T07:51:00Z</dcterms:modified>
</cp:coreProperties>
</file>